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5" w:lineRule="auto"/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line="245" w:lineRule="auto"/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ЗАКОН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right="53"/>
        <w:jc w:val="center"/>
        <w:spacing w:line="245" w:lineRule="auto"/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Алтайского края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pStyle w:val="905"/>
        <w:jc w:val="center"/>
        <w:spacing w:line="24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left="851" w:right="851"/>
        <w:jc w:val="center"/>
        <w:spacing w:line="245" w:lineRule="auto"/>
        <w:widowControl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отдельные законы </w:t>
      </w:r>
      <w:r>
        <w:rPr>
          <w:rFonts w:ascii="PT Astra Serif" w:hAnsi="PT Astra Serif" w:cs="Times New Roman"/>
          <w:b/>
          <w:sz w:val="28"/>
          <w:szCs w:val="28"/>
        </w:rPr>
        <w:br w:type="textWrapping" w:clear="all"/>
      </w:r>
      <w:r>
        <w:rPr>
          <w:rFonts w:ascii="PT Astra Serif" w:hAnsi="PT Astra Serif" w:cs="Times New Roman"/>
          <w:b/>
          <w:sz w:val="28"/>
          <w:szCs w:val="28"/>
        </w:rPr>
        <w:t xml:space="preserve">Алтайского края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pStyle w:val="904"/>
        <w:jc w:val="both"/>
        <w:spacing w:line="245" w:lineRule="auto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>
        <w:rPr>
          <w:rFonts w:ascii="PT Astra Serif" w:hAnsi="PT Astra Serif" w:cs="Times New Roman"/>
          <w:b/>
          <w:bCs/>
          <w:spacing w:val="-1"/>
          <w:sz w:val="28"/>
          <w:szCs w:val="28"/>
        </w:rPr>
      </w:r>
      <w:r>
        <w:rPr>
          <w:rFonts w:ascii="PT Astra Serif" w:hAnsi="PT Astra Serif" w:cs="Times New Roman"/>
          <w:b/>
          <w:bCs/>
          <w:spacing w:val="-1"/>
          <w:sz w:val="28"/>
          <w:szCs w:val="28"/>
        </w:rPr>
      </w:r>
      <w:r>
        <w:rPr>
          <w:rFonts w:ascii="PT Astra Serif" w:hAnsi="PT Astra Serif" w:cs="Times New Roman"/>
          <w:b/>
          <w:bCs/>
          <w:spacing w:val="-1"/>
          <w:sz w:val="28"/>
          <w:szCs w:val="28"/>
        </w:rPr>
      </w:r>
    </w:p>
    <w:p>
      <w:pPr>
        <w:pStyle w:val="904"/>
        <w:jc w:val="both"/>
        <w:spacing w:line="245" w:lineRule="auto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>
        <w:rPr>
          <w:rFonts w:ascii="PT Astra Serif" w:hAnsi="PT Astra Serif" w:cs="Times New Roman"/>
          <w:b/>
          <w:bCs/>
          <w:spacing w:val="-1"/>
          <w:sz w:val="28"/>
          <w:szCs w:val="28"/>
        </w:rPr>
      </w:r>
      <w:r>
        <w:rPr>
          <w:rFonts w:ascii="PT Astra Serif" w:hAnsi="PT Astra Serif" w:cs="Times New Roman"/>
          <w:b/>
          <w:bCs/>
          <w:spacing w:val="-1"/>
          <w:sz w:val="28"/>
          <w:szCs w:val="28"/>
        </w:rPr>
      </w:r>
      <w:r>
        <w:rPr>
          <w:rFonts w:ascii="PT Astra Serif" w:hAnsi="PT Astra Serif" w:cs="Times New Roman"/>
          <w:b/>
          <w:bCs/>
          <w:spacing w:val="-1"/>
          <w:sz w:val="28"/>
          <w:szCs w:val="28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Статья 1</w:t>
      </w:r>
      <w:r>
        <w:rPr>
          <w:rFonts w:ascii="PT Astra Serif" w:hAnsi="PT Astra Serif" w:cs="Times New Roman"/>
          <w:b/>
          <w:bCs/>
          <w:sz w:val="28"/>
          <w:szCs w:val="28"/>
        </w:rPr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/>
        </w:rPr>
        <w:t xml:space="preserve">Внести в закон Алтайского края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от 9 ноября 2015 года №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 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98-ЗС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«О бесплатном предоставлении в собственность земельных участков» (Сборник законодательства Алтайского края, 2015, №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 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235; 2016, №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 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238; Официальный интернет-портал правовой информации (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www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pravo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gov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ru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),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6 июля 2017 года,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3 ноября 2017 года, 1 февраля 2018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года, 7 июня 2018 года, 4 июля 2019 года,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8 октября 2019 года, 11 февраля 2020 года, 2 ноября 2020 года, 24 июня 2021 года, 6 сентября 2021 года, 7 апреля 2022 года, 1 июня 2022 года,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7 октября 2022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года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, 4 мая 2023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года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, 4 октября 2023 года, 1 апреля 20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24 года, 18 июня 2024 года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) следующие изменения: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1) в статье 1: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а) слово «Предельные» заменить словами «1. Предельные»;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б) дополнить частью 2 следующего содержания: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«2. Положения части 1 настоящей статьи не применяются в случае, установленном частью 3.1 ст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атьи 3 настоящего Закона.»;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2) в статье 4: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а) в части 3: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в пункте 3 слова «органами социальной защиты населения» заменить словами «краевыми государственными казенными учреждениями управлениями социальной защиты населения по городским округам и (или) муниц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ипальным районам (округам) (далее – управление социальной защиты населения)»;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дополнить пунктом 5 следующего содержания: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«5) копии документов, указанных в пунктах 3 и 3.1 части 5 настоящей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статьи, – для граждан, указанных в пункте 5 части 1 статьи 3 настоящ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его Закона.»;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spacing w:line="245" w:lineRule="auto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б) в части 11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второе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предложение изложить в следующей редакции:</w:t>
        <w:br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«В журнале учета указываются дата принятия на учет гражданина, желающего приобрести земельный участок, фамилия, имя, отчество (при наличии)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, место жительства, паспортные данные, идентификационный номер налогоплательщика (в журнале учета граждан, имеющих трех и более детей, указываются также фамилии, имена, отчества (при наличии) второго родителя (усыновителя), детей, их даты рождения), номера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контактных телефонов, почтовый адрес для направления корреспонденции.»;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3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)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 в статье 7: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а) пункт 1 части 2 после слова «отчество» дополнить словами «(при наличии)»;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б) в пункте 4 части 5 слова «городского округа города Барнаула Алтайского края» заменит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ь словами «города Барнаула»;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в) в пункте 2 части 8.1 слово «органах» заменить словом «управлении»;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г) в пункте 18 части 11 слово «органа» заменить словом «управления»;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4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)</w:t>
      </w:r>
      <w:bookmarkStart w:id="0" w:name="_GoBack"/>
      <w:r>
        <w:rPr>
          <w:highlight w:val="white"/>
        </w:rPr>
      </w:r>
      <w:bookmarkEnd w:id="0"/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 в статье 9: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а) часть 5 изложить в следующей редакции: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«5. Право граждан, указанных в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 части 3 статьи 3 настоящего Закона, на бесплатное предоставление в собственность земельных участков прекращается и возникает у другого супруга, имеющего трех и более детей, в случаях смерти одного из супругов, объявления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его умершим, признания безвестно о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тсутствующим, н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а основании его заявления, поданного в органы местного самоуправления, указанные в части 1 статьи 4 настоящего Закона, с сохранением очередности,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исходя из времени постановки таких граждан на учет</w:t>
      </w:r>
      <w:r>
        <w:rPr>
          <w:rFonts w:ascii="PT Astra Serif" w:hAnsi="PT Astra Serif" w:eastAsia="Calibri" w:cs="PT Astra Serif"/>
          <w:sz w:val="28"/>
          <w:szCs w:val="28"/>
          <w:highlight w:val="white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 К заявлению гражданина, указанного в настоящей части, прилагается: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1) копия решения суда о приз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нании гражданина безвестно отсутствующим (в случае признания одного из супругов безвестно отсутствующим)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2) копия решения суда об объявлении гражданина умершим (в случае объявления одного из супругов умершим).»;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б) дополнить частями 5.1 – 5.5 следующего сод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ержания: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«5.1. В случае расторжения брака между гражданами, указанными в </w:t>
        <w:br/>
        <w:t xml:space="preserve">части 3 статьи 3 настоящего Закона, право на бесплатное предоставление в собственность земельного участка переходит к гражданину, совместно проживающему с детьми, на основании его зая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вления, поданного в органы местного самоуп</w:t>
      </w:r>
      <w:r>
        <w:rPr>
          <w:rFonts w:ascii="PT Astra Serif" w:hAnsi="PT Astra Serif" w:eastAsia="Calibri" w:cs="PT Astra Serif"/>
          <w:sz w:val="28"/>
          <w:szCs w:val="28"/>
          <w:highlight w:val="white"/>
          <w:lang w:eastAsia="en-US" w:bidi="en-US"/>
        </w:rPr>
        <w:t xml:space="preserve">равления, указанные в части 1 статьи 4 настоящего Закона, с сохранением очередности,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исходя из времени постановки таких граждан на учет</w:t>
      </w:r>
      <w:r>
        <w:rPr>
          <w:rFonts w:ascii="PT Astra Serif" w:hAnsi="PT Astra Serif" w:eastAsia="Calibri" w:cs="PT Astra Serif"/>
          <w:sz w:val="28"/>
          <w:szCs w:val="28"/>
          <w:highlight w:val="white"/>
          <w:lang w:eastAsia="en-US" w:bidi="en-US"/>
        </w:rPr>
        <w:t xml:space="preserve">.</w:t>
      </w:r>
      <w:r>
        <w:rPr>
          <w:rFonts w:ascii="PT Astra Serif" w:hAnsi="PT Astra Serif" w:eastAsia="Calibri" w:cs="PT Astra Serif"/>
          <w:sz w:val="28"/>
          <w:szCs w:val="28"/>
          <w:highlight w:val="white"/>
          <w:lang w:eastAsia="en-US" w:bidi="en-US"/>
        </w:rPr>
        <w:t xml:space="preserve"> К заявлению гражданина, указанного в настоящей части, прилагается: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1) копия решения суда о расторжени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и брака (при отсутствии свед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ений о расторжении брака в Едином государственном реестре записей актов гражданского состояния, едином федеральном информационном регистре, содержащем сведения о населении Российской Федерации);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2) коп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ия решения суда об определении места жительства детей 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(при наличии).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5.2. В случаях, указанн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ых в частях 5 и 5.1 настоящей статьи, орган местного самоуправления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дения: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</w:rPr>
        <w:suppressLineNumbers w:val="0"/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1) в Едином государственном реестре записей актов гражданского состояния, едином федеральном информационном регистре, содержащем сведе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ния о населении Российской Федерации:</w:t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</w:rPr>
        <w:suppressLineNumbers w:val="0"/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а) сведения о смерти (в случае смерти одного из супругов);</w:t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</w:rPr>
        <w:suppressLineNumbers w:val="0"/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б) сведения о расторжении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брака (в случае расторжения брака);</w:t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  <w:lang w:eastAsia="en-US" w:bidi="en-US"/>
        </w:rPr>
        <w:suppressLineNumbers w:val="0"/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2) у Министерства внутренних дел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 Российской Федерации – сведения о совместном проживании гражданина с детьми.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5.3. В случаях, указанных в частях 5 и 5.1 настоящей статьи, граждане вправе по собственной инициативе представ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ить документы, содержащие сведения, указанные в части 5.2 настоящей статьи.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trike w:val="0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5.4. По результатам рассмотрения заявлений граждан, указанных в частях 5 и 5.1 на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стояще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й статьи, орган местного самоуправления не позднее чем через 30 календарных дней со дня регист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рации заявления принимает решение о постановке на уче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т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с сохранением очередности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 либо об отказе в постановке на учет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с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 сохранением очередности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 Указанное решение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орган местного самоуправления не позднее чем через 7 дней со дня его принятия выдает или направляет гражданам, указанным в частях 5 и 5.1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настоящей статьи.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trike w:val="0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5.5. Основаниями для отказа в постановке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на учет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с сохранением очередности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граждан, указанных в частях 5 и 5.1 настояще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й статьи,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 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  <w:lang w:eastAsia="en-US" w:bidi="en-US"/>
        </w:rPr>
        <w:t xml:space="preserve">являются:</w:t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trike w:val="0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highlight w:val="white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1) выявление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 в представленных документах недостоверных</w:t>
      </w: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 сведений;</w:t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  <w:r>
        <w:rPr>
          <w:rFonts w:ascii="PT Astra Serif" w:hAnsi="PT Astra Serif" w:eastAsia="Calibri" w:cs="Times New Roman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highlight w:val="white"/>
          <w:lang w:eastAsia="en-US" w:bidi="en-US"/>
        </w:rPr>
        <w:t xml:space="preserve">2) непр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едставление гражданином документов, предусмотренных частями 5 и 5.1 настоящей статьи.».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  <w:t xml:space="preserve">Статья </w:t>
      </w: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  <w:t xml:space="preserve">2</w:t>
      </w: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Внести в закон Алтайского края от 3 мая 2017 года № 31-ЗС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«О приватизации государственного имущества, находящегося в собственности Алтайского края» (Официальный интернет-портал правовой информации (www.pravo.gov.ru), 5 мая 2017 года, 9 июля 2018 года, 4 апреля 2019 года,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4 июля 2019 года, 11 мая 2021 года, 9 сен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тября 2024 года)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следующие изменения: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1) пункт 4 статьи 3 изложить в  следующей редакции: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«4) устанавливает порядок заключения договора купли-продажи государственного имущества Алтайского края при проведении продажи по минимально допустимой цене;»;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2) час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ть 1 статьи 11 после слова «единовременно» дополнить словами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«не позднее 10 календарных дней с даты подписания договора купли-продажи».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  <w:t xml:space="preserve">Статья </w:t>
      </w: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  <w:t xml:space="preserve">3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ind w:firstLine="709"/>
        <w:jc w:val="both"/>
        <w:widowControl/>
        <w:rPr>
          <w:rFonts w:ascii="PT Astra Serif" w:hAnsi="PT Astra Serif" w:eastAsia="Calibri" w:cs="Times New Roman"/>
          <w:sz w:val="28"/>
          <w:szCs w:val="28"/>
          <w:lang w:eastAsia="en-US" w:bidi="en-US"/>
        </w:rPr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</w:rPr>
        <w:suppressLineNumbers w:val="0"/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Внести в пункт 1 части 1 статьи 1 закона Алтайского края от 7 сентября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2023 года № 45-ЗС «О случаях и поряд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ке предоставления в собственность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бесплатно земельных участков на территории Алтайского края отдельным категориям граждан в связи с их участием в специальной военной операции» (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Официальный интернет-портал правовой информации (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www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pravo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gov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.</w:t>
      </w:r>
      <w:r>
        <w:rPr>
          <w:rFonts w:ascii="PT Astra Serif" w:hAnsi="PT Astra Serif" w:eastAsia="Calibri" w:cs="Times New Roman"/>
          <w:sz w:val="28"/>
          <w:szCs w:val="28"/>
          <w:lang w:val="en-US" w:eastAsia="en-US" w:bidi="en-US"/>
        </w:rPr>
        <w:t xml:space="preserve">ru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)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,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br w:type="textWrapping" w:clear="all"/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12 сентябр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я 2023 года) изменение, дополнив его после слов «Вооруженные Силы Российской Федерации» словами «(войска национальной гвардии </w:t>
      </w: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  <w:t xml:space="preserve">Российской Федерации)».</w:t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</w:rPr>
        <w:suppressLineNumbers w:val="0"/>
      </w:pP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  <w:t xml:space="preserve">Статья </w:t>
      </w:r>
      <w:r>
        <w:rPr>
          <w:rFonts w:ascii="PT Astra Serif" w:hAnsi="PT Astra Serif" w:eastAsia="Calibri" w:cs="Times New Roman"/>
          <w:b/>
          <w:sz w:val="28"/>
          <w:szCs w:val="28"/>
          <w:lang w:eastAsia="en-US" w:bidi="en-US"/>
        </w:rPr>
        <w:t xml:space="preserve">4</w:t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contextualSpacing w:val="0"/>
        <w:ind w:firstLine="709"/>
        <w:jc w:val="both"/>
        <w:widowControl w:val="off"/>
        <w:rPr>
          <w:rFonts w:ascii="PT Astra Serif" w:hAnsi="PT Astra Serif" w:eastAsia="Calibri" w:cs="Times New Roman"/>
          <w:sz w:val="28"/>
          <w:szCs w:val="28"/>
        </w:rPr>
        <w:suppressLineNumbers w:val="0"/>
      </w:pPr>
      <w:r>
        <w:rPr>
          <w:rFonts w:ascii="PT Astra Serif" w:hAnsi="PT Astra Serif" w:eastAsia="Calibri" w:cs="Times New Roman"/>
          <w:sz w:val="28"/>
          <w:szCs w:val="28"/>
          <w:lang w:eastAsia="en-US" w:bidi="en-US"/>
        </w:rPr>
      </w:r>
      <w:r>
        <w:rPr>
          <w:rFonts w:ascii="PT Astra Serif" w:hAnsi="PT Astra Serif" w:eastAsia="Calibri" w:cs="Times New Roman"/>
          <w:sz w:val="28"/>
          <w:szCs w:val="28"/>
        </w:rPr>
      </w:r>
      <w:r>
        <w:rPr>
          <w:rFonts w:ascii="PT Astra Serif" w:hAnsi="PT Astra Serif" w:eastAsia="Calibri" w:cs="Times New Roman"/>
          <w:sz w:val="28"/>
          <w:szCs w:val="28"/>
        </w:rPr>
      </w:r>
    </w:p>
    <w:p>
      <w:pPr>
        <w:contextualSpacing w:val="0"/>
        <w:ind w:firstLine="709"/>
        <w:jc w:val="both"/>
        <w:spacing w:line="233" w:lineRule="auto"/>
        <w:widowControl w:val="off"/>
        <w:rPr>
          <w:rFonts w:ascii="PT Astra Serif" w:hAnsi="PT Astra Serif" w:cs="Times New Roman"/>
          <w:color w:val="000000"/>
          <w:sz w:val="28"/>
          <w:szCs w:val="28"/>
        </w:rPr>
        <w:suppressLineNumbers w:val="0"/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1. Настоящий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Закон вступает в силу через 10 дней после дня его официального опубликования.</w:t>
      </w:r>
      <w:r>
        <w:rPr>
          <w:rFonts w:ascii="PT Astra Serif" w:hAnsi="PT Astra Serif" w:cs="Times New Roman"/>
          <w:color w:val="000000"/>
          <w:sz w:val="28"/>
          <w:szCs w:val="28"/>
        </w:rPr>
      </w:r>
      <w:r>
        <w:rPr>
          <w:rFonts w:ascii="PT Astra Serif" w:hAnsi="PT Astra Serif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33" w:lineRule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 П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одпункт «б» пункта 1 статьи 1 настоящего Закона распространяет свое действие на правоотношения, возникшие с 1 января 2024 года.</w:t>
      </w:r>
      <w:r>
        <w:rPr>
          <w:rFonts w:ascii="PT Astra Serif" w:hAnsi="PT Astra Serif" w:cs="Times New Roman"/>
          <w:color w:val="000000"/>
          <w:sz w:val="28"/>
          <w:szCs w:val="28"/>
        </w:rPr>
      </w:r>
      <w:r>
        <w:rPr>
          <w:rFonts w:ascii="PT Astra Serif" w:hAnsi="PT Astra Serif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33" w:lineRule="auto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3. Статья 3 настоящего Закона распространяет свое действие на правоотношения, возникшие с 24 июня 2024 года.</w:t>
      </w:r>
      <w:r>
        <w:rPr>
          <w:rFonts w:ascii="PT Astra Serif" w:hAnsi="PT Astra Serif" w:cs="Times New Roman"/>
          <w:color w:val="000000"/>
          <w:sz w:val="28"/>
          <w:szCs w:val="28"/>
        </w:rPr>
      </w:r>
      <w:r>
        <w:rPr>
          <w:rFonts w:ascii="PT Astra Serif" w:hAnsi="PT Astra Serif" w:cs="Times New Roman"/>
          <w:color w:val="000000"/>
          <w:sz w:val="28"/>
          <w:szCs w:val="28"/>
        </w:rPr>
      </w:r>
    </w:p>
    <w:tbl>
      <w:tblPr>
        <w:tblW w:w="98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ind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Губернатор Алтай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ского края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ind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  <w:p>
            <w:pPr>
              <w:ind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  <w:p>
            <w:pPr>
              <w:ind w:right="-108" w:firstLine="709"/>
              <w:jc w:val="both"/>
              <w:widowControl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                                В.П. Томенко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ind w:firstLine="709"/>
              <w:jc w:val="both"/>
              <w:widowControl/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ind w:firstLine="709"/>
              <w:jc w:val="both"/>
              <w:widowControl/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ind w:firstLine="709"/>
              <w:jc w:val="both"/>
              <w:widowControl/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</w:p>
        </w:tc>
        <w:tc>
          <w:tcPr>
            <w:tcW w:w="5104" w:type="dxa"/>
            <w:textDirection w:val="lrTb"/>
            <w:noWrap w:val="false"/>
          </w:tcPr>
          <w:p>
            <w:pPr>
              <w:ind w:firstLine="709"/>
              <w:jc w:val="both"/>
              <w:widowControl/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  <w:r>
              <w:rPr>
                <w:rFonts w:ascii="PT Astra Serif" w:hAnsi="PT Astra Serif" w:eastAsia="Calibri" w:cs="Times New Roman"/>
                <w:sz w:val="28"/>
                <w:szCs w:val="28"/>
                <w:lang w:val="en-US" w:eastAsia="en-US" w:bidi="en-US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right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PAGE   \* MERGEFORMAT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sz w:val="24"/>
        <w:szCs w:val="24"/>
      </w:rPr>
      <w:t xml:space="preserve">2</w:t>
    </w:r>
    <w:r>
      <w:rPr>
        <w:rFonts w:ascii="PT Astra Serif" w:hAnsi="PT Astra Serif"/>
        <w:sz w:val="24"/>
        <w:szCs w:val="24"/>
      </w:rPr>
      <w:fldChar w:fldCharType="end"/>
    </w:r>
    <w:r>
      <w:rPr>
        <w:rFonts w:ascii="PT Astra Serif" w:hAnsi="PT Astra Serif"/>
        <w:sz w:val="24"/>
        <w:szCs w:val="24"/>
      </w:rPr>
    </w:r>
    <w:r>
      <w:rPr>
        <w:rFonts w:ascii="PT Astra Serif" w:hAnsi="PT Astra Serif"/>
        <w:sz w:val="24"/>
        <w:szCs w:val="24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4" w:hanging="11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eastAsia="Calibri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Title Char"/>
    <w:basedOn w:val="720"/>
    <w:link w:val="734"/>
    <w:uiPriority w:val="10"/>
    <w:rPr>
      <w:sz w:val="48"/>
      <w:szCs w:val="48"/>
    </w:rPr>
  </w:style>
  <w:style w:type="character" w:styleId="705">
    <w:name w:val="Subtitle Char"/>
    <w:basedOn w:val="720"/>
    <w:link w:val="736"/>
    <w:uiPriority w:val="11"/>
    <w:rPr>
      <w:sz w:val="24"/>
      <w:szCs w:val="24"/>
    </w:rPr>
  </w:style>
  <w:style w:type="character" w:styleId="706">
    <w:name w:val="Quote Char"/>
    <w:link w:val="738"/>
    <w:uiPriority w:val="29"/>
    <w:rPr>
      <w:i/>
    </w:rPr>
  </w:style>
  <w:style w:type="character" w:styleId="707">
    <w:name w:val="Intense Quote Char"/>
    <w:link w:val="740"/>
    <w:uiPriority w:val="30"/>
    <w:rPr>
      <w:i/>
    </w:rPr>
  </w:style>
  <w:style w:type="character" w:styleId="708">
    <w:name w:val="Footnote Text Char"/>
    <w:link w:val="875"/>
    <w:uiPriority w:val="99"/>
    <w:rPr>
      <w:sz w:val="18"/>
    </w:rPr>
  </w:style>
  <w:style w:type="character" w:styleId="709">
    <w:name w:val="Endnote Text Char"/>
    <w:link w:val="878"/>
    <w:uiPriority w:val="99"/>
    <w:rPr>
      <w:sz w:val="20"/>
    </w:rPr>
  </w:style>
  <w:style w:type="paragraph" w:styleId="710" w:default="1">
    <w:name w:val="Normal"/>
    <w:qFormat/>
    <w:pPr>
      <w:widowControl w:val="off"/>
    </w:pPr>
    <w:rPr>
      <w:rFonts w:ascii="Times New Roman" w:hAnsi="Times New Roman" w:eastAsia="Times New Roman" w:cs="Arial"/>
    </w:rPr>
  </w:style>
  <w:style w:type="paragraph" w:styleId="711">
    <w:name w:val="Heading 1"/>
    <w:basedOn w:val="710"/>
    <w:next w:val="710"/>
    <w:link w:val="892"/>
    <w:qFormat/>
    <w:pPr>
      <w:keepLines/>
      <w:keepNext/>
      <w:spacing w:before="240"/>
      <w:outlineLvl w:val="0"/>
    </w:pPr>
    <w:rPr>
      <w:rFonts w:ascii="Cambria" w:hAnsi="Cambria"/>
      <w:color w:val="315f97"/>
      <w:sz w:val="32"/>
      <w:szCs w:val="32"/>
    </w:rPr>
  </w:style>
  <w:style w:type="paragraph" w:styleId="712">
    <w:name w:val="Heading 2"/>
    <w:basedOn w:val="710"/>
    <w:next w:val="710"/>
    <w:link w:val="893"/>
    <w:qFormat/>
    <w:pPr>
      <w:keepLines/>
      <w:keepNext/>
      <w:spacing w:before="40"/>
      <w:outlineLvl w:val="1"/>
    </w:pPr>
    <w:rPr>
      <w:rFonts w:ascii="Cambria" w:hAnsi="Cambria"/>
      <w:color w:val="315f97"/>
      <w:sz w:val="26"/>
      <w:szCs w:val="26"/>
    </w:rPr>
  </w:style>
  <w:style w:type="paragraph" w:styleId="713">
    <w:name w:val="Heading 3"/>
    <w:basedOn w:val="710"/>
    <w:next w:val="710"/>
    <w:link w:val="894"/>
    <w:qFormat/>
    <w:pPr>
      <w:keepLines/>
      <w:keepNext/>
      <w:spacing w:before="40"/>
      <w:outlineLvl w:val="2"/>
    </w:pPr>
    <w:rPr>
      <w:rFonts w:ascii="Cambria" w:hAnsi="Cambria"/>
      <w:color w:val="315f97"/>
      <w:sz w:val="24"/>
      <w:szCs w:val="24"/>
    </w:rPr>
  </w:style>
  <w:style w:type="paragraph" w:styleId="714">
    <w:name w:val="Heading 4"/>
    <w:basedOn w:val="710"/>
    <w:next w:val="710"/>
    <w:link w:val="895"/>
    <w:qFormat/>
    <w:pPr>
      <w:keepLines/>
      <w:keepNext/>
      <w:spacing w:before="40"/>
      <w:outlineLvl w:val="3"/>
    </w:pPr>
    <w:rPr>
      <w:rFonts w:ascii="Cambria" w:hAnsi="Cambria"/>
      <w:i/>
      <w:iCs/>
      <w:color w:val="315f97"/>
    </w:rPr>
  </w:style>
  <w:style w:type="paragraph" w:styleId="715">
    <w:name w:val="Heading 5"/>
    <w:basedOn w:val="710"/>
    <w:next w:val="710"/>
    <w:link w:val="896"/>
    <w:qFormat/>
    <w:pPr>
      <w:keepLines/>
      <w:keepNext/>
      <w:spacing w:before="40"/>
      <w:outlineLvl w:val="4"/>
    </w:pPr>
    <w:rPr>
      <w:rFonts w:ascii="Cambria" w:hAnsi="Cambria"/>
      <w:color w:val="315f97"/>
    </w:rPr>
  </w:style>
  <w:style w:type="paragraph" w:styleId="716">
    <w:name w:val="Heading 6"/>
    <w:basedOn w:val="710"/>
    <w:next w:val="710"/>
    <w:link w:val="897"/>
    <w:qFormat/>
    <w:pPr>
      <w:keepLines/>
      <w:keepNext/>
      <w:spacing w:before="40"/>
      <w:outlineLvl w:val="5"/>
    </w:pPr>
    <w:rPr>
      <w:rFonts w:ascii="Cambria" w:hAnsi="Cambria"/>
      <w:color w:val="315f97"/>
    </w:rPr>
  </w:style>
  <w:style w:type="paragraph" w:styleId="717">
    <w:name w:val="Heading 7"/>
    <w:basedOn w:val="710"/>
    <w:next w:val="710"/>
    <w:link w:val="898"/>
    <w:qFormat/>
    <w:pPr>
      <w:keepLines/>
      <w:keepNext/>
      <w:spacing w:before="40"/>
      <w:outlineLvl w:val="6"/>
    </w:pPr>
    <w:rPr>
      <w:rFonts w:ascii="Cambria" w:hAnsi="Cambria"/>
      <w:i/>
      <w:iCs/>
      <w:color w:val="315f97"/>
    </w:rPr>
  </w:style>
  <w:style w:type="paragraph" w:styleId="718">
    <w:name w:val="Heading 8"/>
    <w:basedOn w:val="710"/>
    <w:next w:val="710"/>
    <w:link w:val="899"/>
    <w:qFormat/>
    <w:pPr>
      <w:keepLines/>
      <w:keepNext/>
      <w:spacing w:before="40"/>
      <w:outlineLvl w:val="7"/>
    </w:pPr>
    <w:rPr>
      <w:rFonts w:ascii="Cambria" w:hAnsi="Cambria"/>
      <w:color w:val="000000"/>
      <w:sz w:val="21"/>
      <w:szCs w:val="21"/>
    </w:rPr>
  </w:style>
  <w:style w:type="paragraph" w:styleId="719">
    <w:name w:val="Heading 9"/>
    <w:basedOn w:val="710"/>
    <w:next w:val="710"/>
    <w:link w:val="900"/>
    <w:qFormat/>
    <w:pPr>
      <w:keepLines/>
      <w:keepNext/>
      <w:spacing w:before="40"/>
      <w:outlineLvl w:val="8"/>
    </w:pPr>
    <w:rPr>
      <w:rFonts w:ascii="Cambria" w:hAnsi="Cambria"/>
      <w:i/>
      <w:iCs/>
      <w:color w:val="000000"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rPr>
      <w:lang w:eastAsia="zh-CN"/>
    </w:rPr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710"/>
    <w:next w:val="710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901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 w:eastAsia="en-US" w:bidi="en-US"/>
    </w:rPr>
  </w:style>
  <w:style w:type="character" w:styleId="743" w:customStyle="1">
    <w:name w:val="Header Char"/>
    <w:uiPriority w:val="99"/>
  </w:style>
  <w:style w:type="paragraph" w:styleId="744">
    <w:name w:val="Footer"/>
    <w:basedOn w:val="710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footnote text"/>
    <w:basedOn w:val="710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710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710"/>
    <w:next w:val="710"/>
    <w:uiPriority w:val="99"/>
    <w:unhideWhenUsed/>
  </w:style>
  <w:style w:type="character" w:styleId="892" w:customStyle="1">
    <w:name w:val="Заголовок 1 Знак"/>
    <w:link w:val="711"/>
    <w:rPr>
      <w:rFonts w:ascii="Cambria" w:hAnsi="Cambria"/>
      <w:color w:val="315f97"/>
      <w:sz w:val="32"/>
      <w:szCs w:val="32"/>
    </w:rPr>
  </w:style>
  <w:style w:type="character" w:styleId="893" w:customStyle="1">
    <w:name w:val="Заголовок 2 Знак"/>
    <w:link w:val="712"/>
    <w:rPr>
      <w:rFonts w:ascii="Cambria" w:hAnsi="Cambria"/>
      <w:color w:val="315f97"/>
      <w:sz w:val="26"/>
      <w:szCs w:val="26"/>
    </w:rPr>
  </w:style>
  <w:style w:type="character" w:styleId="894" w:customStyle="1">
    <w:name w:val="Заголовок 3 Знак"/>
    <w:link w:val="713"/>
    <w:rPr>
      <w:rFonts w:ascii="Cambria" w:hAnsi="Cambria"/>
      <w:color w:val="315f97"/>
      <w:sz w:val="24"/>
      <w:szCs w:val="24"/>
    </w:rPr>
  </w:style>
  <w:style w:type="character" w:styleId="895" w:customStyle="1">
    <w:name w:val="Заголовок 4 Знак"/>
    <w:link w:val="714"/>
    <w:rPr>
      <w:rFonts w:ascii="Cambria" w:hAnsi="Cambria"/>
      <w:i/>
      <w:iCs/>
      <w:color w:val="315f97"/>
    </w:rPr>
  </w:style>
  <w:style w:type="character" w:styleId="896" w:customStyle="1">
    <w:name w:val="Заголовок 5 Знак"/>
    <w:link w:val="715"/>
    <w:rPr>
      <w:rFonts w:ascii="Cambria" w:hAnsi="Cambria"/>
      <w:color w:val="315f97"/>
    </w:rPr>
  </w:style>
  <w:style w:type="character" w:styleId="897" w:customStyle="1">
    <w:name w:val="Заголовок 6 Знак"/>
    <w:link w:val="716"/>
    <w:rPr>
      <w:rFonts w:ascii="Cambria" w:hAnsi="Cambria"/>
      <w:color w:val="315f97"/>
    </w:rPr>
  </w:style>
  <w:style w:type="character" w:styleId="898" w:customStyle="1">
    <w:name w:val="Заголовок 7 Знак"/>
    <w:link w:val="717"/>
    <w:rPr>
      <w:rFonts w:ascii="Cambria" w:hAnsi="Cambria"/>
      <w:i/>
      <w:iCs/>
      <w:color w:val="315f97"/>
    </w:rPr>
  </w:style>
  <w:style w:type="character" w:styleId="899" w:customStyle="1">
    <w:name w:val="Заголовок 8 Знак"/>
    <w:link w:val="718"/>
    <w:rPr>
      <w:rFonts w:ascii="Cambria" w:hAnsi="Cambria"/>
      <w:color w:val="000000"/>
      <w:sz w:val="21"/>
      <w:szCs w:val="21"/>
    </w:rPr>
  </w:style>
  <w:style w:type="character" w:styleId="900" w:customStyle="1">
    <w:name w:val="Заголовок 9 Знак"/>
    <w:link w:val="719"/>
    <w:rPr>
      <w:rFonts w:ascii="Cambria" w:hAnsi="Cambria"/>
      <w:i/>
      <w:iCs/>
      <w:color w:val="000000"/>
      <w:sz w:val="21"/>
      <w:szCs w:val="21"/>
    </w:rPr>
  </w:style>
  <w:style w:type="character" w:styleId="901" w:customStyle="1">
    <w:name w:val="Верхний колонтитул Знак"/>
    <w:link w:val="742"/>
    <w:uiPriority w:val="99"/>
    <w:rPr>
      <w:rFonts w:ascii="Times New Roman" w:hAnsi="Times New Roman" w:eastAsia="Times New Roman" w:cs="Arial"/>
      <w:sz w:val="20"/>
      <w:szCs w:val="20"/>
      <w:lang w:val="en-US" w:eastAsia="ru-RU" w:bidi="en-US"/>
    </w:rPr>
  </w:style>
  <w:style w:type="character" w:styleId="902" w:customStyle="1">
    <w:name w:val="Текст выноски Знак"/>
    <w:link w:val="903"/>
    <w:uiPriority w:val="99"/>
    <w:semiHidden/>
    <w:rPr>
      <w:rFonts w:ascii="Tahoma" w:hAnsi="Tahoma" w:eastAsia="Times New Roman" w:cs="Tahoma"/>
      <w:sz w:val="16"/>
      <w:szCs w:val="16"/>
      <w:lang w:val="en-US" w:eastAsia="ru-RU" w:bidi="en-US"/>
    </w:rPr>
  </w:style>
  <w:style w:type="paragraph" w:styleId="903">
    <w:name w:val="Balloon Text"/>
    <w:basedOn w:val="710"/>
    <w:link w:val="902"/>
    <w:uiPriority w:val="99"/>
    <w:semiHidden/>
    <w:unhideWhenUsed/>
    <w:rPr>
      <w:rFonts w:ascii="Tahoma" w:hAnsi="Tahoma" w:cs="Times New Roman"/>
      <w:sz w:val="16"/>
      <w:szCs w:val="16"/>
      <w:lang w:val="en-US" w:eastAsia="en-US" w:bidi="en-US"/>
    </w:rPr>
  </w:style>
  <w:style w:type="paragraph" w:styleId="904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905" w:customStyle="1">
    <w:name w:val="ConsPlusTitle"/>
    <w:uiPriority w:val="99"/>
    <w:pPr>
      <w:widowControl w:val="off"/>
    </w:pPr>
    <w:rPr>
      <w:rFonts w:eastAsia="Times New Roman" w:cs="Calibri"/>
      <w:b/>
      <w:sz w:val="22"/>
    </w:rPr>
  </w:style>
  <w:style w:type="character" w:styleId="906" w:customStyle="1">
    <w:name w:val="Нижний колонтитул Знак"/>
    <w:link w:val="744"/>
    <w:uiPriority w:val="99"/>
    <w:rPr>
      <w:rFonts w:ascii="Times New Roman" w:hAnsi="Times New Roman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 А. Фефелова</dc:creator>
  <cp:revision>340</cp:revision>
  <dcterms:created xsi:type="dcterms:W3CDTF">2022-06-30T01:56:00Z</dcterms:created>
  <dcterms:modified xsi:type="dcterms:W3CDTF">2024-12-04T05:31:53Z</dcterms:modified>
  <cp:version>917504</cp:version>
</cp:coreProperties>
</file>